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5"/>
          <w:szCs w:val="25"/>
        </w:rPr>
      </w:pPr>
      <w:r>
        <w:rPr>
          <w:rFonts w:cs="Times New Roman" w:ascii="Times New Roman" w:hAnsi="Times New Roman"/>
          <w:sz w:val="25"/>
          <w:szCs w:val="25"/>
        </w:rPr>
        <w:t>Приложение 1</w:t>
      </w:r>
    </w:p>
    <w:p>
      <w:pPr>
        <w:pStyle w:val="Normal"/>
        <w:spacing w:lineRule="auto" w:line="240" w:before="0" w:after="0"/>
        <w:jc w:val="right"/>
        <w:rPr>
          <w:rFonts w:ascii="Times New Roman" w:hAnsi="Times New Roman" w:cs="Times New Roman"/>
          <w:sz w:val="25"/>
          <w:szCs w:val="25"/>
        </w:rPr>
      </w:pPr>
      <w:r>
        <w:rPr>
          <w:rFonts w:cs="Times New Roman" w:ascii="Times New Roman" w:hAnsi="Times New Roman"/>
          <w:sz w:val="25"/>
          <w:szCs w:val="25"/>
        </w:rPr>
        <w:t>УТВЕРЖДЕНО</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Приказом директора ОБУСО</w:t>
      </w:r>
    </w:p>
    <w:p>
      <w:pPr>
        <w:pStyle w:val="Normal"/>
        <w:spacing w:lineRule="auto" w:line="240" w:before="0" w:after="0"/>
        <w:jc w:val="right"/>
        <w:rPr>
          <w:rFonts w:ascii="Times New Roman" w:hAnsi="Times New Roman" w:cs="Times New Roman"/>
          <w:bCs/>
          <w:sz w:val="19"/>
          <w:szCs w:val="19"/>
        </w:rPr>
      </w:pPr>
      <w:r>
        <w:rPr>
          <w:rFonts w:cs="Times New Roman" w:ascii="Times New Roman" w:hAnsi="Times New Roman"/>
          <w:bCs/>
          <w:sz w:val="19"/>
          <w:szCs w:val="19"/>
        </w:rPr>
        <w:t>«КЦСОН Кореневского района»</w:t>
      </w:r>
    </w:p>
    <w:p>
      <w:pPr>
        <w:pStyle w:val="Normal"/>
        <w:spacing w:lineRule="auto" w:line="240" w:before="0" w:after="0"/>
        <w:jc w:val="right"/>
        <w:rPr>
          <w:rFonts w:ascii="Times New Roman" w:hAnsi="Times New Roman" w:cs="Times New Roman"/>
          <w:bCs/>
          <w:sz w:val="19"/>
          <w:szCs w:val="19"/>
        </w:rPr>
      </w:pPr>
      <w:r>
        <w:rPr>
          <w:rFonts w:cs="Times New Roman" w:ascii="Times New Roman" w:hAnsi="Times New Roman"/>
          <w:bCs/>
          <w:sz w:val="19"/>
          <w:szCs w:val="19"/>
        </w:rPr>
        <w:t xml:space="preserve">№ </w:t>
      </w:r>
      <w:r>
        <w:rPr>
          <w:rFonts w:cs="Times New Roman" w:ascii="Times New Roman" w:hAnsi="Times New Roman"/>
          <w:bCs/>
          <w:sz w:val="19"/>
          <w:szCs w:val="19"/>
        </w:rPr>
        <w:t xml:space="preserve">59 от 29 </w:t>
      </w:r>
      <w:bookmarkStart w:id="0" w:name="_GoBack"/>
      <w:bookmarkEnd w:id="0"/>
      <w:r>
        <w:rPr>
          <w:rFonts w:cs="Times New Roman" w:ascii="Times New Roman" w:hAnsi="Times New Roman"/>
          <w:bCs/>
          <w:sz w:val="19"/>
          <w:szCs w:val="19"/>
        </w:rPr>
        <w:t>декабря 2018г.</w:t>
      </w:r>
    </w:p>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Программа обучения работников ОБУСО «КЦСОН Кореневского района» вопросам</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профилактики и противодействия коррупции</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Style w:val="a3"/>
        <w:tblW w:w="9704" w:type="dxa"/>
        <w:jc w:val="left"/>
        <w:tblInd w:w="0" w:type="dxa"/>
        <w:tblCellMar>
          <w:top w:w="0" w:type="dxa"/>
          <w:left w:w="108" w:type="dxa"/>
          <w:bottom w:w="0" w:type="dxa"/>
          <w:right w:w="108" w:type="dxa"/>
        </w:tblCellMar>
        <w:tblLook w:firstRow="1" w:noVBand="1" w:lastRow="0" w:firstColumn="1" w:lastColumn="0" w:noHBand="0" w:val="04a0"/>
      </w:tblPr>
      <w:tblGrid>
        <w:gridCol w:w="950"/>
        <w:gridCol w:w="6245"/>
        <w:gridCol w:w="2509"/>
      </w:tblGrid>
      <w:tr>
        <w:trPr/>
        <w:tc>
          <w:tcPr>
            <w:tcW w:w="950" w:type="dxa"/>
            <w:tcBorders/>
            <w:shd w:fill="auto" w:val="clear"/>
            <w:vAlign w:val="cente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п/п</w:t>
            </w:r>
          </w:p>
        </w:tc>
        <w:tc>
          <w:tcPr>
            <w:tcW w:w="6245" w:type="dxa"/>
            <w:tcBorders/>
            <w:shd w:fill="auto" w:val="clear"/>
            <w:vAlign w:val="cente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Наименование разделов и тем</w:t>
            </w:r>
          </w:p>
        </w:tc>
        <w:tc>
          <w:tcPr>
            <w:tcW w:w="2509" w:type="dxa"/>
            <w:tcBorders/>
            <w:shd w:fill="auto" w:val="clear"/>
            <w:vAlign w:val="center"/>
          </w:tcPr>
          <w:p>
            <w:pPr>
              <w:pStyle w:val="Normal"/>
              <w:spacing w:lineRule="auto" w:line="240" w:before="0" w:after="0"/>
              <w:jc w:val="both"/>
              <w:rPr>
                <w:rFonts w:ascii="Times New Roman" w:hAnsi="Times New Roman" w:cs="Times New Roman"/>
                <w:b/>
                <w:b/>
                <w:sz w:val="25"/>
                <w:szCs w:val="25"/>
              </w:rPr>
            </w:pPr>
            <w:r>
              <w:rPr>
                <w:rFonts w:cs="Times New Roman" w:ascii="Times New Roman" w:hAnsi="Times New Roman"/>
                <w:b/>
                <w:sz w:val="25"/>
                <w:szCs w:val="25"/>
              </w:rPr>
              <w:t>Всего</w:t>
            </w:r>
          </w:p>
          <w:p>
            <w:pPr>
              <w:pStyle w:val="Normal"/>
              <w:spacing w:lineRule="auto" w:line="240" w:before="0" w:after="0"/>
              <w:jc w:val="both"/>
              <w:rPr>
                <w:rFonts w:ascii="Times New Roman" w:hAnsi="Times New Roman" w:cs="Times New Roman"/>
                <w:b/>
                <w:b/>
                <w:sz w:val="25"/>
                <w:szCs w:val="25"/>
              </w:rPr>
            </w:pPr>
            <w:r>
              <w:rPr>
                <w:rFonts w:cs="Times New Roman" w:ascii="Times New Roman" w:hAnsi="Times New Roman"/>
                <w:b/>
                <w:sz w:val="25"/>
                <w:szCs w:val="25"/>
              </w:rPr>
              <w:t>минут</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r>
      <w:tr>
        <w:trPr>
          <w:trHeight w:val="2057" w:hRule="atLeast"/>
        </w:trPr>
        <w:tc>
          <w:tcPr>
            <w:tcW w:w="950"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w:t>
            </w:r>
          </w:p>
        </w:tc>
        <w:tc>
          <w:tcPr>
            <w:tcW w:w="6245"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Понятие коррупции и правовые основы противодействия коррупционным</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5"/>
                <w:szCs w:val="25"/>
              </w:rPr>
              <w:t xml:space="preserve">правонарушениям. </w:t>
            </w:r>
          </w:p>
        </w:tc>
        <w:tc>
          <w:tcPr>
            <w:tcW w:w="2509"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w:t>
            </w:r>
          </w:p>
        </w:tc>
      </w:tr>
      <w:tr>
        <w:trPr>
          <w:trHeight w:val="2600" w:hRule="atLeast"/>
        </w:trPr>
        <w:tc>
          <w:tcPr>
            <w:tcW w:w="950"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w:t>
            </w:r>
          </w:p>
        </w:tc>
        <w:tc>
          <w:tcPr>
            <w:tcW w:w="6245"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Меры профилактики коррупции в Учреждении. </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Правовые и организационные основы противодействия коррупции в Учреждении, основные принципы противодействия коррупции.</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5"/>
                <w:szCs w:val="25"/>
              </w:rPr>
              <w:t>Кодекс этики и служебного поведения работников Учреждения.</w:t>
            </w:r>
          </w:p>
        </w:tc>
        <w:tc>
          <w:tcPr>
            <w:tcW w:w="2509"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15</w:t>
            </w:r>
          </w:p>
        </w:tc>
      </w:tr>
      <w:tr>
        <w:trPr>
          <w:trHeight w:val="273" w:hRule="atLeast"/>
        </w:trPr>
        <w:tc>
          <w:tcPr>
            <w:tcW w:w="950"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3</w:t>
            </w:r>
          </w:p>
        </w:tc>
        <w:tc>
          <w:tcPr>
            <w:tcW w:w="6245" w:type="dxa"/>
            <w:tcBorders/>
            <w:shd w:fill="auto" w:val="cle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sz w:val="25"/>
                <w:szCs w:val="25"/>
              </w:rPr>
              <w:t>Ответственность за коррупционные правонарушения</w:t>
            </w:r>
          </w:p>
        </w:tc>
        <w:tc>
          <w:tcPr>
            <w:tcW w:w="2509"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10</w:t>
            </w:r>
          </w:p>
        </w:tc>
      </w:tr>
      <w:tr>
        <w:trPr/>
        <w:tc>
          <w:tcPr>
            <w:tcW w:w="950" w:type="dxa"/>
            <w:tcBorders/>
            <w:shd w:fill="auto" w:val="cle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Итого:</w:t>
            </w:r>
          </w:p>
        </w:tc>
        <w:tc>
          <w:tcPr>
            <w:tcW w:w="6245" w:type="dxa"/>
            <w:tcBorders/>
            <w:shd w:fill="auto" w:val="clear"/>
          </w:tcPr>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tc>
        <w:tc>
          <w:tcPr>
            <w:tcW w:w="2509"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35</w:t>
            </w:r>
          </w:p>
        </w:tc>
      </w:tr>
    </w:tbl>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I. Понятие коррупции и правовые основы противодействия коррупциоииым правонарушениям</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1.1. В сфере противодействия коррупции используются понятия применяемые в значениях, определенных в Федеральным законом от 25 декабря 2008 г. № 273-ФЭ «О противодействии коррупции» (далее - Закон о противодействии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Коррупцией также является совершение перечисленных деяний от имени или в интересах юридического лица;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а) по предупреждению коррупции, в том числе по выявлению и последующему устранению причин коррупции (профилактика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б) по выявлению, предупреждению, пресечению, раскрытию и расследованию коррупционных правонарушений (борьба с коррупцией);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в) по минимизации и (или) ликвидации последствий коррупционных правонарушений.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xml:space="preserve">         </w:t>
      </w:r>
      <w:r>
        <w:rPr>
          <w:rFonts w:cs="Times New Roman" w:ascii="Times New Roman" w:hAnsi="Times New Roman"/>
          <w:sz w:val="25"/>
          <w:szCs w:val="25"/>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1.2. Действующее российское законодательство в сфере противодействия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Основополагающим нормативно правовым актом в сфере противодействия коррупции в Российской Федерации является Федеральный закон от 25 декабря 2008 г. № 273-ФЭ «О противодействии коррупции». Законом о противодействии коррупции устанавливаются основные принципы противодействия коррупции, правовые и организационные основы</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предупреждения коррупции и борьбы с ней, минимизации и (или) ликвидации последствий коррупционных правонарушений.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1.3. Международно-правовые акты в сфере противодействия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1.3.1. Конвенция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признание определенных действий в качестве уголовно наказуемых преступлений;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принятие мер по противодействию коррупционным преступлениям в частном секторе;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установление ответственности юридических лиц за совершение коррупционных преступлений.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 ФЗ «О ратификации Конвенции об уголовной ответственности за коррупцию»).</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признание определенных действий в качестве преступлений;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установление ответственности юридических лиц за совершение коррупционных правонарушений.</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II. Меры профилактики коррупции в Учреждении.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Правовые и организационные основы противодействия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коррупции в Учреждении, основные принципы противодействия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коррупции.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Кодекс этики и служебного поведения работников Учреждения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2.1. С целью профилактики коррупции в Учреждении проводится следующая работа: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назначено должностное лицо, ответственное за профилактику и противодействие коррупции в ОБУСО «КЦСОН Кореневского района»;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утверждена антикоррупционная политика ОБУСО «КЦСОН Кореневского района»; утвержден Кодекс этики и служебного поведения работников ОБУСО «КЦСОН Кореневского района»;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создана комиссия по урегулированию конфликта интересов;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ежегодно утверждается план противодействия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2.2. Кодекс этики и служебного поведения работников Учреждения.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содействие укреплению авторитета работников Учреждения, повышению доверия граждан к Учреждению.</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Кодекс призван повысить эффективность выполнения работниками Учреждения своих трудовых обязанностей.</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2.1. Комиссии по урегулированию конфликта интересов.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Задачи комиссии по урегулированию конфликта интересов: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содействие в урегулировании конфликта интересов, способного привести к причинению вреда законным интересам граждан, организаций, обществу;</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обеспечение условий для добросовестного и эффективного исполнения обязанностей сотрудниками Учреждения;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 противодействие коррупции.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Под конфликтом интересов согласно Закону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надлежащее, объективное и беспристрастное исполнение им должностных (служебных) обязанностей (осуществление полномочий).</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III. Ответственность за коррупционные правонарушения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Законодательством Российской Федерации предусмотрена следующая минимальная ответственность за коррупционные правонарушения: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3.1. Уголовный кодекс Российской Федерации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159. Мошенничество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Мошенничество,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204. Коммерческий подкуп</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положением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лишением свободы на тот же срок.</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290. Получение взятки наказывается штрафом в размере от двадцатипятикратной до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 кратной суммы взятки.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291. Дача взятки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291.1. Посредничество во взяточничестве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свободы на срок до пяти лет со штрафом в размере двадцатикратной суммы взятки.</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292. Служебный подлог</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документы исправлений, искажающих их действительное содержание, если эти деяния совершены из корыстной или иной личной заинтересованности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либо принудительными работами на срок до двух лет, либо арестом на срок до шести месяцев, либо лишением свободы на срок до двух лет.</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304. Провокация взятки либо коммерческого подкупа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определенные должности или заниматься определенной деятельностью на срок до трех лет или без такового.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3.2. Кодекс Российской Федерации об административных правонарушениях.</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Статья 19.28. Незаконное вознаграждение от имени юридического лица</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лицом либо должностным лицом публичной международной организации действия (бездействие), связанного с занимаемым ими служебным положением, -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3.3. 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t>лица), в интересах которого действовало это физическое лицо.</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right"/>
        <w:rPr>
          <w:rFonts w:ascii="Times New Roman" w:hAnsi="Times New Roman" w:cs="Times New Roman"/>
          <w:sz w:val="25"/>
          <w:szCs w:val="25"/>
        </w:rPr>
      </w:pPr>
      <w:r>
        <w:rPr>
          <w:rFonts w:cs="Times New Roman" w:ascii="Times New Roman" w:hAnsi="Times New Roman"/>
          <w:sz w:val="25"/>
          <w:szCs w:val="25"/>
        </w:rPr>
        <w:t>Приложение 1</w:t>
      </w:r>
    </w:p>
    <w:p>
      <w:pPr>
        <w:pStyle w:val="Normal"/>
        <w:spacing w:lineRule="auto" w:line="240" w:before="0" w:after="0"/>
        <w:jc w:val="right"/>
        <w:rPr>
          <w:rFonts w:ascii="Times New Roman" w:hAnsi="Times New Roman" w:cs="Times New Roman"/>
          <w:sz w:val="25"/>
          <w:szCs w:val="25"/>
        </w:rPr>
      </w:pPr>
      <w:r>
        <w:rPr>
          <w:rFonts w:cs="Times New Roman" w:ascii="Times New Roman" w:hAnsi="Times New Roman"/>
          <w:sz w:val="25"/>
          <w:szCs w:val="25"/>
        </w:rPr>
        <w:t>УТВЕРЖДЕНО</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Приказом директора ОБУСО</w:t>
      </w:r>
    </w:p>
    <w:p>
      <w:pPr>
        <w:pStyle w:val="Normal"/>
        <w:spacing w:lineRule="auto" w:line="240" w:before="0" w:after="0"/>
        <w:jc w:val="right"/>
        <w:rPr>
          <w:rFonts w:ascii="Times New Roman" w:hAnsi="Times New Roman" w:cs="Times New Roman"/>
          <w:bCs/>
          <w:sz w:val="19"/>
          <w:szCs w:val="19"/>
        </w:rPr>
      </w:pPr>
      <w:r>
        <w:rPr>
          <w:rFonts w:cs="Times New Roman" w:ascii="Times New Roman" w:hAnsi="Times New Roman"/>
          <w:bCs/>
          <w:sz w:val="19"/>
          <w:szCs w:val="19"/>
        </w:rPr>
        <w:t>«КЦСОН Кореневского района»</w:t>
      </w:r>
    </w:p>
    <w:p>
      <w:pPr>
        <w:pStyle w:val="Normal"/>
        <w:spacing w:lineRule="auto" w:line="240" w:before="0" w:after="0"/>
        <w:jc w:val="right"/>
        <w:rPr>
          <w:rFonts w:ascii="Times New Roman" w:hAnsi="Times New Roman" w:cs="Times New Roman"/>
          <w:bCs/>
          <w:sz w:val="19"/>
          <w:szCs w:val="19"/>
        </w:rPr>
      </w:pPr>
      <w:r>
        <w:rPr>
          <w:rFonts w:cs="Times New Roman" w:ascii="Times New Roman" w:hAnsi="Times New Roman"/>
          <w:bCs/>
          <w:sz w:val="19"/>
          <w:szCs w:val="19"/>
        </w:rPr>
        <w:t>№</w:t>
      </w:r>
      <w:r>
        <w:rPr>
          <w:rFonts w:cs="Times New Roman" w:ascii="Times New Roman" w:hAnsi="Times New Roman"/>
          <w:bCs/>
          <w:sz w:val="19"/>
          <w:szCs w:val="19"/>
        </w:rPr>
        <w:t>_____ от ____________ 20___г.</w:t>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Журнал</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регистрации прохождения обучения и ознакомления</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работников ОБУСО «КЦСОН Кореневского района»</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вопросам профилактики и противодействия коррупции</w:t>
      </w:r>
    </w:p>
    <w:p>
      <w:pPr>
        <w:pStyle w:val="Normal"/>
        <w:spacing w:lineRule="auto" w:line="240" w:before="0" w:after="0"/>
        <w:jc w:val="center"/>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Style w:val="a3"/>
        <w:tblW w:w="10280" w:type="dxa"/>
        <w:jc w:val="left"/>
        <w:tblInd w:w="0" w:type="dxa"/>
        <w:tblCellMar>
          <w:top w:w="0" w:type="dxa"/>
          <w:left w:w="108" w:type="dxa"/>
          <w:bottom w:w="0" w:type="dxa"/>
          <w:right w:w="108" w:type="dxa"/>
        </w:tblCellMar>
        <w:tblLook w:firstRow="1" w:noVBand="1" w:lastRow="0" w:firstColumn="1" w:lastColumn="0" w:noHBand="0" w:val="04a0"/>
      </w:tblPr>
      <w:tblGrid>
        <w:gridCol w:w="1306"/>
        <w:gridCol w:w="1424"/>
        <w:gridCol w:w="1424"/>
        <w:gridCol w:w="1441"/>
        <w:gridCol w:w="1442"/>
        <w:gridCol w:w="1409"/>
        <w:gridCol w:w="1833"/>
      </w:tblGrid>
      <w:tr>
        <w:trPr>
          <w:trHeight w:val="300" w:hRule="atLeast"/>
        </w:trPr>
        <w:tc>
          <w:tcPr>
            <w:tcW w:w="1306" w:type="dxa"/>
            <w:vMerge w:val="restart"/>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b/>
                <w:bCs/>
                <w:sz w:val="20"/>
                <w:szCs w:val="20"/>
              </w:rPr>
              <w:t>Дата</w:t>
            </w:r>
          </w:p>
        </w:tc>
        <w:tc>
          <w:tcPr>
            <w:tcW w:w="1424" w:type="dxa"/>
            <w:vMerge w:val="restart"/>
            <w:tcBorders/>
            <w:shd w:fill="auto" w:val="cle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ФИО</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обучаемого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424" w:type="dxa"/>
            <w:vMerge w:val="restart"/>
            <w:tcBorders/>
            <w:shd w:fill="auto" w:val="cle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Должность</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обучаемого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441" w:type="dxa"/>
            <w:vMerge w:val="restart"/>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ФИО,</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должность</w:t>
            </w:r>
          </w:p>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обучающего</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851" w:type="dxa"/>
            <w:gridSpan w:val="2"/>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Подпись</w:t>
            </w:r>
          </w:p>
        </w:tc>
        <w:tc>
          <w:tcPr>
            <w:tcW w:w="1833" w:type="dxa"/>
            <w:vMerge w:val="restart"/>
            <w:tcBorders/>
            <w:shd w:fill="auto" w:val="cle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Ознакомление с</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локальными</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актами по</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противодействию</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rHeight w:val="639" w:hRule="atLeast"/>
        </w:trPr>
        <w:tc>
          <w:tcPr>
            <w:tcW w:w="1306" w:type="dxa"/>
            <w:vMerge w:val="continue"/>
            <w:tcBorders/>
            <w:shd w:fill="auto" w:val="clear"/>
          </w:tcPr>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tc>
        <w:tc>
          <w:tcPr>
            <w:tcW w:w="1424" w:type="dxa"/>
            <w:vMerge w:val="continue"/>
            <w:tcBorders/>
            <w:shd w:fill="auto" w:val="clear"/>
          </w:tcPr>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tc>
        <w:tc>
          <w:tcPr>
            <w:tcW w:w="1424" w:type="dxa"/>
            <w:vMerge w:val="continue"/>
            <w:tcBorders/>
            <w:shd w:fill="auto" w:val="clear"/>
          </w:tcPr>
          <w:p>
            <w:pPr>
              <w:pStyle w:val="Normal"/>
              <w:spacing w:lineRule="auto" w:line="240" w:before="0" w:after="0"/>
              <w:jc w:val="both"/>
              <w:rPr>
                <w:rFonts w:ascii="Times New Roman" w:hAnsi="Times New Roman" w:cs="Times New Roman"/>
                <w:b/>
                <w:b/>
                <w:bCs/>
                <w:sz w:val="19"/>
                <w:szCs w:val="19"/>
              </w:rPr>
            </w:pPr>
            <w:r>
              <w:rPr>
                <w:rFonts w:cs="Times New Roman" w:ascii="Times New Roman" w:hAnsi="Times New Roman"/>
                <w:b/>
                <w:bCs/>
                <w:sz w:val="19"/>
                <w:szCs w:val="19"/>
              </w:rPr>
            </w:r>
          </w:p>
        </w:tc>
        <w:tc>
          <w:tcPr>
            <w:tcW w:w="1441" w:type="dxa"/>
            <w:vMerge w:val="continue"/>
            <w:tcBorders/>
            <w:shd w:fill="auto" w:val="clear"/>
          </w:tcPr>
          <w:p>
            <w:pPr>
              <w:pStyle w:val="Normal"/>
              <w:spacing w:lineRule="auto" w:line="240" w:before="0" w:after="0"/>
              <w:jc w:val="center"/>
              <w:rPr>
                <w:rFonts w:ascii="Times New Roman" w:hAnsi="Times New Roman" w:cs="Times New Roman"/>
                <w:b/>
                <w:b/>
                <w:bCs/>
                <w:sz w:val="19"/>
                <w:szCs w:val="19"/>
              </w:rPr>
            </w:pPr>
            <w:r>
              <w:rPr>
                <w:rFonts w:cs="Times New Roman" w:ascii="Times New Roman" w:hAnsi="Times New Roman"/>
                <w:b/>
                <w:bCs/>
                <w:sz w:val="19"/>
                <w:szCs w:val="19"/>
              </w:rPr>
            </w:r>
          </w:p>
        </w:tc>
        <w:tc>
          <w:tcPr>
            <w:tcW w:w="1442" w:type="dxa"/>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обучающего</w:t>
            </w:r>
          </w:p>
        </w:tc>
        <w:tc>
          <w:tcPr>
            <w:tcW w:w="1409" w:type="dxa"/>
            <w:tcBorders/>
            <w:shd w:fill="auto" w:val="cle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rPr>
              <w:t>обучаемого</w:t>
            </w:r>
          </w:p>
        </w:tc>
        <w:tc>
          <w:tcPr>
            <w:tcW w:w="1833" w:type="dxa"/>
            <w:vMerge w:val="continue"/>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r>
      <w:tr>
        <w:trPr/>
        <w:tc>
          <w:tcPr>
            <w:tcW w:w="1306"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c>
          <w:tcPr>
            <w:tcW w:w="1424"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c>
          <w:tcPr>
            <w:tcW w:w="1424"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c>
          <w:tcPr>
            <w:tcW w:w="1441"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c>
          <w:tcPr>
            <w:tcW w:w="1442"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c>
          <w:tcPr>
            <w:tcW w:w="1409"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c>
          <w:tcPr>
            <w:tcW w:w="1833" w:type="dxa"/>
            <w:tcBorders/>
            <w:shd w:fill="auto" w:val="clear"/>
          </w:tcPr>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tc>
      </w:tr>
    </w:tbl>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pacing w:lineRule="auto" w:line="240" w:before="0" w:after="0"/>
        <w:jc w:val="both"/>
        <w:rPr>
          <w:rFonts w:ascii="Times New Roman" w:hAnsi="Times New Roman" w:cs="Times New Roman"/>
          <w:sz w:val="25"/>
          <w:szCs w:val="25"/>
        </w:rPr>
      </w:pPr>
      <w:r>
        <w:rPr>
          <w:rFonts w:cs="Times New Roman" w:ascii="Times New Roman" w:hAnsi="Times New Roman"/>
          <w:sz w:val="25"/>
          <w:szCs w:val="25"/>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4"/>
          <w:szCs w:val="24"/>
          <w:lang w:eastAsia="ar-SA"/>
        </w:rPr>
        <w:tab/>
      </w:r>
    </w:p>
    <w:p>
      <w:pPr>
        <w:pStyle w:val="Normal"/>
        <w:suppressAutoHyphens w:val="tru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pPr>
      <w:r>
        <w:rPr/>
      </w:r>
    </w:p>
    <w:sectPr>
      <w:type w:val="nextPage"/>
      <w:pgSz w:w="11906" w:h="16838"/>
      <w:pgMar w:left="993"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05603e"/>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05603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45090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9B3D-E7BB-4F8B-AFA4-0D1264C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Application>LibreOffice/6.0.3.2$Windows_x86 LibreOffice_project/8f48d515416608e3a835360314dac7e47fd0b821</Application>
  <Pages>6</Pages>
  <Words>1692</Words>
  <Characters>12146</Characters>
  <CharactersWithSpaces>13748</CharactersWithSpaces>
  <Paragraphs>124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2018-12-12T13:30:00Z</dcterms:created>
  <dc:creator>Виктория Пугачева</dc:creator>
  <dc:description/>
  <dc:language>ru-RU</dc:language>
  <cp:lastModifiedBy/>
  <cp:lastPrinted>2019-01-24T12:40:00Z</cp:lastPrinted>
  <dcterms:modified xsi:type="dcterms:W3CDTF">2019-01-25T15:54:41Z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